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x-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85A13"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shd w:val="clear" w:color="auto" w:fill="FFFFFF"/>
        </w:rPr>
        <w:t>Det er viktig for Inka at omverdenen har tillit til oss og at vi har et godt omdømme.</w:t>
      </w:r>
    </w:p>
    <w:p w14:paraId="26B4595B"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Dette dokumentet legger grunnlaget for hvordan vi forholder oss til hverandre og til våre omgivelser og hvilke forventninger Inka har til sine styremedlemmer, ansatte, kunder og leverandører.</w:t>
      </w:r>
    </w:p>
    <w:p w14:paraId="6FD4B25A"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De etiske retningslinjene våre bygger blant annet på de 10 prinsippene for samfunnsansvar utgitt av FN (UN Global Compacts)</w:t>
      </w:r>
    </w:p>
    <w:p w14:paraId="4DCB0CAC"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p>
    <w:p w14:paraId="01B20492" w14:textId="77777777" w:rsidR="00676404" w:rsidRPr="00676404" w:rsidRDefault="00676404" w:rsidP="00676404">
      <w:pPr>
        <w:pStyle w:val="NormalWeb"/>
        <w:shd w:val="clear" w:color="auto" w:fill="FFFFFF"/>
        <w:spacing w:before="0" w:beforeAutospacing="0" w:after="150" w:afterAutospacing="0"/>
        <w:rPr>
          <w:rFonts w:ascii="Arial" w:hAnsi="Arial" w:cs="Arial"/>
          <w:color w:val="2E74B5" w:themeColor="accent1" w:themeShade="BF"/>
          <w:sz w:val="21"/>
          <w:szCs w:val="21"/>
        </w:rPr>
      </w:pPr>
      <w:r w:rsidRPr="00676404">
        <w:rPr>
          <w:rFonts w:ascii="Arial" w:hAnsi="Arial" w:cs="Arial"/>
          <w:color w:val="2E74B5" w:themeColor="accent1" w:themeShade="BF"/>
          <w:sz w:val="21"/>
          <w:szCs w:val="21"/>
          <w:u w:val="single"/>
        </w:rPr>
        <w:t>Lovlydighet, tillit og troverdighet</w:t>
      </w:r>
    </w:p>
    <w:p w14:paraId="2565FF9A"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Vi overholder til enhver tid gjeldende lover, regler og standarder, selv om det innebærer merkostnader eller forsinkelser. Det er et personlig ansvar å sikre etterlevelse av standarder og restriksjoner som kommer frem av lovgivningen.</w:t>
      </w:r>
    </w:p>
    <w:p w14:paraId="550B7104"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Ansatte i Inka skal arbeide for bedriftens og våre kunders beste i tråd med gjeldende lover, regler, generelle normer, folkeskikk, og i henhold til bedriftens vedtak. Vi skal opptre på en måte som gir tillit og ikke skader vårt omdømme hos våre kunder og våre leverandører, og samfunnet ellers. Vi er redelige, ærlige og åpne i enhver sammenheng.</w:t>
      </w:r>
    </w:p>
    <w:p w14:paraId="32FB8E88" w14:textId="77777777" w:rsidR="00676404" w:rsidRPr="00676404" w:rsidRDefault="00676404" w:rsidP="00676404">
      <w:pPr>
        <w:pStyle w:val="NormalWeb"/>
        <w:shd w:val="clear" w:color="auto" w:fill="FFFFFF"/>
        <w:spacing w:before="0" w:beforeAutospacing="0" w:after="150" w:afterAutospacing="0"/>
        <w:rPr>
          <w:rFonts w:ascii="Arial" w:hAnsi="Arial" w:cs="Arial"/>
          <w:color w:val="2E74B5" w:themeColor="accent1" w:themeShade="BF"/>
          <w:sz w:val="21"/>
          <w:szCs w:val="21"/>
        </w:rPr>
      </w:pPr>
      <w:r w:rsidRPr="00676404">
        <w:rPr>
          <w:rFonts w:ascii="Arial" w:hAnsi="Arial" w:cs="Arial"/>
          <w:color w:val="2E74B5" w:themeColor="accent1" w:themeShade="BF"/>
          <w:sz w:val="21"/>
          <w:szCs w:val="21"/>
          <w:u w:val="single"/>
        </w:rPr>
        <w:t>Miljø</w:t>
      </w:r>
    </w:p>
    <w:p w14:paraId="7797B658"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Inkas aktiviteter skal styres etter prinsippet om bærekraftig utvikling og vi ønsker å forvalte ressursene våre på en forsvarlig måte.</w:t>
      </w:r>
    </w:p>
    <w:p w14:paraId="123B3DFD"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Vi skal fremme en ansvarlig klimapolitikk og overholde relevante og internasjonale standarder. Inka har et høyt fokus på utnytting av råstoff, avfallssortering og gjenvinning, samt fokus på transport og forurensing</w:t>
      </w:r>
    </w:p>
    <w:p w14:paraId="05C5DBAB" w14:textId="05EE932F"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 xml:space="preserve">Vi har innarbeidet rutiner for kontroll av det ytre miljø og </w:t>
      </w:r>
      <w:r w:rsidR="00EB61DF">
        <w:rPr>
          <w:rFonts w:ascii="Arial" w:hAnsi="Arial" w:cs="Arial"/>
          <w:color w:val="414141"/>
          <w:sz w:val="21"/>
          <w:szCs w:val="21"/>
        </w:rPr>
        <w:t>jobber kontinuerlig for å redusere vårt fotavtrykk.</w:t>
      </w:r>
    </w:p>
    <w:p w14:paraId="1288F0E9"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Vi har en tett dialog med nærmiljøet rundt og er en aktiv aktør i ulike lokale arrangement og organisasjoner.</w:t>
      </w:r>
    </w:p>
    <w:p w14:paraId="2A8EE08E" w14:textId="77777777" w:rsidR="00676404" w:rsidRPr="00676404" w:rsidRDefault="00676404" w:rsidP="00676404">
      <w:pPr>
        <w:pStyle w:val="NormalWeb"/>
        <w:shd w:val="clear" w:color="auto" w:fill="FFFFFF"/>
        <w:spacing w:before="0" w:beforeAutospacing="0" w:after="150" w:afterAutospacing="0"/>
        <w:rPr>
          <w:rFonts w:ascii="Arial" w:hAnsi="Arial" w:cs="Arial"/>
          <w:color w:val="2E74B5" w:themeColor="accent1" w:themeShade="BF"/>
          <w:sz w:val="21"/>
          <w:szCs w:val="21"/>
        </w:rPr>
      </w:pPr>
      <w:r w:rsidRPr="00676404">
        <w:rPr>
          <w:rFonts w:ascii="Arial" w:hAnsi="Arial" w:cs="Arial"/>
          <w:color w:val="2E74B5" w:themeColor="accent1" w:themeShade="BF"/>
          <w:sz w:val="21"/>
          <w:szCs w:val="21"/>
          <w:u w:val="single"/>
        </w:rPr>
        <w:t>FNs menneskerettigheter og arbeidstakerrettigheter</w:t>
      </w:r>
    </w:p>
    <w:p w14:paraId="46496D1F"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Inka respekterer FNs menneskerettighetserklæring og unngår å involveres i brudd på disse. Vi skal sikre arbeidstakernes rettigheter, herunder ansattes rett til organisasjonsfrihet og rett til kollektive forhandlinger, fjerning av barnearbeid og forbud mot diskriminering i forbindelse med ansettelse og stillingsutnevnelser. Inka legger arbeidsmiljøloven og ILOs kjernekonvensjonen til grunn for sin virksomhet. Alle i Inka deler et ansvar for at disse kravene oppfylles.</w:t>
      </w:r>
    </w:p>
    <w:p w14:paraId="09EC0752" w14:textId="77777777" w:rsidR="00676404" w:rsidRPr="00676404" w:rsidRDefault="00676404" w:rsidP="00676404">
      <w:pPr>
        <w:pStyle w:val="NormalWeb"/>
        <w:shd w:val="clear" w:color="auto" w:fill="FFFFFF"/>
        <w:spacing w:before="0" w:beforeAutospacing="0" w:after="150" w:afterAutospacing="0"/>
        <w:rPr>
          <w:rFonts w:ascii="Arial" w:hAnsi="Arial" w:cs="Arial"/>
          <w:color w:val="2E74B5" w:themeColor="accent1" w:themeShade="BF"/>
          <w:sz w:val="21"/>
          <w:szCs w:val="21"/>
        </w:rPr>
      </w:pPr>
      <w:r w:rsidRPr="00676404">
        <w:rPr>
          <w:rFonts w:ascii="Arial" w:hAnsi="Arial" w:cs="Arial"/>
          <w:color w:val="2E74B5" w:themeColor="accent1" w:themeShade="BF"/>
          <w:sz w:val="21"/>
          <w:szCs w:val="21"/>
          <w:u w:val="single"/>
        </w:rPr>
        <w:t>Informasjon og taushetsplikt </w:t>
      </w:r>
    </w:p>
    <w:p w14:paraId="3EE18C16"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 xml:space="preserve">Inka behandler og bruker informasjon, IT systemer og internett-tjenester på en ansvarlig måte. Elektroniske data som er lagret i Inkas systemer er selskapets eiendom og vi aksepterer at Inka har rett til å lese informasjon som er lagret på Inkas IT systemer. </w:t>
      </w:r>
      <w:r>
        <w:rPr>
          <w:rFonts w:ascii="Arial" w:hAnsi="Arial" w:cs="Arial"/>
          <w:color w:val="414141"/>
          <w:sz w:val="21"/>
          <w:szCs w:val="21"/>
          <w:shd w:val="clear" w:color="auto" w:fill="FFFFFF"/>
        </w:rPr>
        <w:t>Sensitive opplysninger og personopplysninger internt behandles konfidensielt iht til gjeldende regelverk (GDPR)</w:t>
      </w:r>
      <w:r>
        <w:rPr>
          <w:rFonts w:ascii="Arial" w:hAnsi="Arial" w:cs="Arial"/>
          <w:color w:val="414141"/>
          <w:sz w:val="21"/>
          <w:szCs w:val="21"/>
        </w:rPr>
        <w:t> </w:t>
      </w:r>
    </w:p>
    <w:p w14:paraId="6DC803C7"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Med unntak for offentlig tilgjengelig informasjon om Inka, dets virksomhet og kunder, styremedlemmer eller dets ansatte er vi forpliktet til å holde informasjon om konkurransesensitiv informasjon konfidensiell. </w:t>
      </w:r>
    </w:p>
    <w:p w14:paraId="2D45D6B1" w14:textId="77A956C0"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Vi har taushetsplikt om medarbeiders, kunders, leverandørers og andre personlige eller forretningsmessige forhold, som vi får kjennskap til gjennom vårt arbeid i Inka. Dette gjelder opplysninger om forretningsmessig drift, sikkerhetsmessige forhold, personopplysninger og forhold som er av intern og eller fortrolig art. Taushetsplikten gjelder både utad og i forhold til kollegaer som ikke har behov for opplysninger i sitt arbeid. Vi gir ikke tr</w:t>
      </w:r>
      <w:r w:rsidR="00EB61DF">
        <w:rPr>
          <w:rFonts w:ascii="Arial" w:hAnsi="Arial" w:cs="Arial"/>
          <w:color w:val="414141"/>
          <w:sz w:val="21"/>
          <w:szCs w:val="21"/>
        </w:rPr>
        <w:t>.</w:t>
      </w:r>
      <w:r>
        <w:rPr>
          <w:rFonts w:ascii="Arial" w:hAnsi="Arial" w:cs="Arial"/>
          <w:color w:val="414141"/>
          <w:sz w:val="21"/>
          <w:szCs w:val="21"/>
        </w:rPr>
        <w:t xml:space="preserve">edjepart opplysninger som er taushetsbelagt uten skriftlig samtykke fra den det angår, eller hvor dette er hjemlet i lov </w:t>
      </w:r>
      <w:r>
        <w:rPr>
          <w:rFonts w:ascii="Arial" w:hAnsi="Arial" w:cs="Arial"/>
          <w:color w:val="414141"/>
          <w:sz w:val="21"/>
          <w:szCs w:val="21"/>
        </w:rPr>
        <w:lastRenderedPageBreak/>
        <w:t>eller forskrift. </w:t>
      </w:r>
      <w:r>
        <w:rPr>
          <w:rFonts w:ascii="Arial" w:hAnsi="Arial" w:cs="Arial"/>
          <w:color w:val="414141"/>
          <w:sz w:val="21"/>
          <w:szCs w:val="21"/>
          <w:shd w:val="clear" w:color="auto" w:fill="FFFFFF"/>
        </w:rPr>
        <w:t>Taushetsplikten gjelder også ved eventuelt opphør av ansettelsesforholdet. </w:t>
      </w:r>
      <w:r>
        <w:rPr>
          <w:rFonts w:ascii="Arial" w:hAnsi="Arial" w:cs="Arial"/>
          <w:color w:val="414141"/>
          <w:sz w:val="21"/>
          <w:szCs w:val="21"/>
        </w:rPr>
        <w:t> Det gjøres dog unntak fra taushetsplikten i den grad det er forpliktet til å gi offentlige myndigheter slik informasjon som følge av tvingende lovgivning. Taushetsplikten er ikke til hinder for varsling om kritikkverdige forhold. </w:t>
      </w:r>
    </w:p>
    <w:p w14:paraId="6B49FF44"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shd w:val="clear" w:color="auto" w:fill="FFFFFF"/>
        </w:rPr>
        <w:t>Vi utviser varsomhet og opptrer med godt skjønn i sosiale medier og offentligheten ellers.</w:t>
      </w:r>
    </w:p>
    <w:p w14:paraId="10D2D209" w14:textId="77777777" w:rsidR="00676404" w:rsidRPr="00676404" w:rsidRDefault="00676404" w:rsidP="00676404">
      <w:pPr>
        <w:pStyle w:val="NormalWeb"/>
        <w:shd w:val="clear" w:color="auto" w:fill="FFFFFF"/>
        <w:spacing w:before="0" w:beforeAutospacing="0" w:after="150" w:afterAutospacing="0"/>
        <w:rPr>
          <w:rFonts w:ascii="Arial" w:hAnsi="Arial" w:cs="Arial"/>
          <w:color w:val="2E74B5" w:themeColor="accent1" w:themeShade="BF"/>
          <w:sz w:val="21"/>
          <w:szCs w:val="21"/>
        </w:rPr>
      </w:pPr>
      <w:r w:rsidRPr="00676404">
        <w:rPr>
          <w:rFonts w:ascii="Arial" w:hAnsi="Arial" w:cs="Arial"/>
          <w:color w:val="2E74B5" w:themeColor="accent1" w:themeShade="BF"/>
          <w:sz w:val="21"/>
          <w:szCs w:val="21"/>
          <w:u w:val="single"/>
        </w:rPr>
        <w:t>Kommunikasjon</w:t>
      </w:r>
    </w:p>
    <w:p w14:paraId="02D06057"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Inka kommuniserer åpent og presis med alle interessegrupper og sørger for at viktig informasjon blir gitt til rett tid. Kommunikasjon mot media og offentlighet skjer i samsvar med Inkas retningslinjer og i henhold til gjeldende regelverk.</w:t>
      </w:r>
    </w:p>
    <w:p w14:paraId="0F0C9E82" w14:textId="77777777" w:rsidR="00676404" w:rsidRPr="00676404" w:rsidRDefault="00676404" w:rsidP="00676404">
      <w:pPr>
        <w:pStyle w:val="NormalWeb"/>
        <w:shd w:val="clear" w:color="auto" w:fill="FFFFFF"/>
        <w:spacing w:before="0" w:beforeAutospacing="0" w:after="150" w:afterAutospacing="0"/>
        <w:rPr>
          <w:rFonts w:ascii="Arial" w:hAnsi="Arial" w:cs="Arial"/>
          <w:color w:val="2E74B5" w:themeColor="accent1" w:themeShade="BF"/>
          <w:sz w:val="21"/>
          <w:szCs w:val="21"/>
        </w:rPr>
      </w:pPr>
      <w:r w:rsidRPr="00676404">
        <w:rPr>
          <w:rFonts w:ascii="Arial" w:hAnsi="Arial" w:cs="Arial"/>
          <w:color w:val="2E74B5" w:themeColor="accent1" w:themeShade="BF"/>
          <w:sz w:val="21"/>
          <w:szCs w:val="21"/>
          <w:u w:val="single"/>
        </w:rPr>
        <w:t>Beslutnings vedtak</w:t>
      </w:r>
    </w:p>
    <w:p w14:paraId="72299DD8" w14:textId="6654C24E"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Alle ansatte plikter å gjøre seg kjent med fullmakts strukturen i Inka, kjenne egne fullmakter og opptrer i samsvar med disse. Beslutninger tas basert på faglige vurderinger etter gjeldende fullmaktsregler.</w:t>
      </w:r>
    </w:p>
    <w:p w14:paraId="4199564A" w14:textId="77777777" w:rsidR="00676404" w:rsidRPr="00676404" w:rsidRDefault="00676404" w:rsidP="00676404">
      <w:pPr>
        <w:pStyle w:val="NormalWeb"/>
        <w:shd w:val="clear" w:color="auto" w:fill="FFFFFF"/>
        <w:spacing w:before="0" w:beforeAutospacing="0" w:after="150" w:afterAutospacing="0"/>
        <w:rPr>
          <w:rFonts w:ascii="Arial" w:hAnsi="Arial" w:cs="Arial"/>
          <w:color w:val="2E74B5" w:themeColor="accent1" w:themeShade="BF"/>
          <w:sz w:val="21"/>
          <w:szCs w:val="21"/>
        </w:rPr>
      </w:pPr>
      <w:r w:rsidRPr="00676404">
        <w:rPr>
          <w:rFonts w:ascii="Arial" w:hAnsi="Arial" w:cs="Arial"/>
          <w:color w:val="2E74B5" w:themeColor="accent1" w:themeShade="BF"/>
          <w:sz w:val="21"/>
          <w:szCs w:val="21"/>
          <w:u w:val="single"/>
        </w:rPr>
        <w:t>Inkas interesser</w:t>
      </w:r>
    </w:p>
    <w:p w14:paraId="3290213C" w14:textId="046D7EE2"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 xml:space="preserve">Inka respekterer den enkeltes ansattes rett til privatliv og private interesser, og krever åpenhet og lojalitet i forhold til Inkas interesser. Konfidensiell informasjon skal ikke brukes for å oppnå personlige fordeler. Vi avklarer styreverv og eierinteresser hos kunder, leverandører og aktører i sjømatbransjen og samarbeidspartnere med våre overordnede. Vi skal ikke ha verv eller eierandeler der lojaliteten til Inka kan trekkes i tvil eller som kan innebære at Inkas </w:t>
      </w:r>
      <w:r w:rsidR="00EB61DF">
        <w:rPr>
          <w:rFonts w:ascii="Arial" w:hAnsi="Arial" w:cs="Arial"/>
          <w:color w:val="414141"/>
          <w:sz w:val="21"/>
          <w:szCs w:val="21"/>
        </w:rPr>
        <w:t xml:space="preserve">omdømme </w:t>
      </w:r>
      <w:r>
        <w:rPr>
          <w:rFonts w:ascii="Arial" w:hAnsi="Arial" w:cs="Arial"/>
          <w:color w:val="414141"/>
          <w:sz w:val="21"/>
          <w:szCs w:val="21"/>
        </w:rPr>
        <w:t>eller troverdighet kan trekkes i tvil. Dersom inhabilitet oppstår ellers, er det vår plikt på eget initiativ å varsle om forholdet.</w:t>
      </w:r>
    </w:p>
    <w:p w14:paraId="5E57D828" w14:textId="77777777" w:rsidR="00676404" w:rsidRPr="00676404" w:rsidRDefault="00676404" w:rsidP="00676404">
      <w:pPr>
        <w:pStyle w:val="NormalWeb"/>
        <w:shd w:val="clear" w:color="auto" w:fill="FFFFFF"/>
        <w:spacing w:before="0" w:beforeAutospacing="0" w:after="150" w:afterAutospacing="0"/>
        <w:rPr>
          <w:rFonts w:ascii="Arial" w:hAnsi="Arial" w:cs="Arial"/>
          <w:color w:val="2E74B5" w:themeColor="accent1" w:themeShade="BF"/>
          <w:sz w:val="21"/>
          <w:szCs w:val="21"/>
        </w:rPr>
      </w:pPr>
      <w:r w:rsidRPr="00676404">
        <w:rPr>
          <w:rFonts w:ascii="Arial" w:hAnsi="Arial" w:cs="Arial"/>
          <w:color w:val="2E74B5" w:themeColor="accent1" w:themeShade="BF"/>
          <w:sz w:val="21"/>
          <w:szCs w:val="21"/>
          <w:u w:val="single"/>
        </w:rPr>
        <w:t>Internkontroll</w:t>
      </w:r>
    </w:p>
    <w:p w14:paraId="6B0C5CCE"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Vi sørger for god internkontroll for de prosessene vi er involvert i ved at vi gjennomfører kontrolltiltak i henhold til dokumenterte retningslinjer og prosedyrer.</w:t>
      </w:r>
    </w:p>
    <w:p w14:paraId="545148B7" w14:textId="77777777" w:rsidR="00676404" w:rsidRPr="00676404" w:rsidRDefault="00676404" w:rsidP="00676404">
      <w:pPr>
        <w:pStyle w:val="NormalWeb"/>
        <w:shd w:val="clear" w:color="auto" w:fill="FFFFFF"/>
        <w:spacing w:before="0" w:beforeAutospacing="0" w:after="150" w:afterAutospacing="0"/>
        <w:rPr>
          <w:rFonts w:ascii="Arial" w:hAnsi="Arial" w:cs="Arial"/>
          <w:color w:val="2E74B5" w:themeColor="accent1" w:themeShade="BF"/>
          <w:sz w:val="21"/>
          <w:szCs w:val="21"/>
        </w:rPr>
      </w:pPr>
      <w:r w:rsidRPr="00676404">
        <w:rPr>
          <w:rFonts w:ascii="Arial" w:hAnsi="Arial" w:cs="Arial"/>
          <w:color w:val="2E74B5" w:themeColor="accent1" w:themeShade="BF"/>
          <w:sz w:val="21"/>
          <w:szCs w:val="21"/>
          <w:u w:val="single"/>
        </w:rPr>
        <w:t>Eiendeler</w:t>
      </w:r>
    </w:p>
    <w:p w14:paraId="4D5F7450"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Inkas eiendeler ivaretas og sikres på en hensiktsmessig måte. Vi bruker ikke Inkas eiendeler til personlige formål med mindre dette er avklart i arbeidsforholdet eller et resultat av Inkas regler og retningslinjer.</w:t>
      </w:r>
    </w:p>
    <w:p w14:paraId="61FE071D" w14:textId="77777777" w:rsidR="00676404" w:rsidRPr="00676404" w:rsidRDefault="00676404" w:rsidP="00676404">
      <w:pPr>
        <w:pStyle w:val="NormalWeb"/>
        <w:shd w:val="clear" w:color="auto" w:fill="FFFFFF"/>
        <w:spacing w:before="0" w:beforeAutospacing="0" w:after="150" w:afterAutospacing="0"/>
        <w:rPr>
          <w:rFonts w:ascii="Arial" w:hAnsi="Arial" w:cs="Arial"/>
          <w:color w:val="2E74B5" w:themeColor="accent1" w:themeShade="BF"/>
          <w:sz w:val="21"/>
          <w:szCs w:val="21"/>
        </w:rPr>
      </w:pPr>
      <w:r w:rsidRPr="00676404">
        <w:rPr>
          <w:rFonts w:ascii="Arial" w:hAnsi="Arial" w:cs="Arial"/>
          <w:color w:val="2E74B5" w:themeColor="accent1" w:themeShade="BF"/>
          <w:sz w:val="21"/>
          <w:szCs w:val="21"/>
          <w:u w:val="single"/>
        </w:rPr>
        <w:t>Nulltoleranse for korrupsjon, hvitvasking, smøring og terrorfinansiering</w:t>
      </w:r>
    </w:p>
    <w:p w14:paraId="6963CC82"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Korrupsjon, hvitvasking og terrorfinansiering truer rettsstaten, demokratiet og menneskerettighetene, undergraver et godt styresett, billighet og sosial rettferdighet, vrir konkurransen, hindrer økonomisk utvikling og utgjør en fare for stabiliteten i demokratiske institusjoner og samfunnets moralske grunnlag. Inka har derfor nulltoleranse for korrupsjon, og alle i Inka er forpliktet til å følge lover og regler som er innført for å bekjempe korrupsjon og bestikkelser. Vi tilbyr eller mottar ikke pengegaver eller andre økonomiske godtgjørelser i den hensikt å skaffe personlige eller forretningsmessige fordeler for oss selv eller andre.</w:t>
      </w:r>
    </w:p>
    <w:p w14:paraId="34A9836D"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Vi er varsomme med å gi eller motta gaver eller høflighetsgester. Vi tar ikke imot gaver eller annen form for godtgjørelser hvis det er grunn til å tro at hensikten er å påvirke forretningsmessige beslutninger. </w:t>
      </w:r>
    </w:p>
    <w:p w14:paraId="6623AB29" w14:textId="77777777" w:rsidR="00676404" w:rsidRPr="00676404" w:rsidRDefault="00676404" w:rsidP="00676404">
      <w:pPr>
        <w:pStyle w:val="NormalWeb"/>
        <w:shd w:val="clear" w:color="auto" w:fill="FFFFFF"/>
        <w:spacing w:before="0" w:beforeAutospacing="0" w:after="150" w:afterAutospacing="0"/>
        <w:rPr>
          <w:rFonts w:ascii="Arial" w:hAnsi="Arial" w:cs="Arial"/>
          <w:color w:val="2E74B5" w:themeColor="accent1" w:themeShade="BF"/>
          <w:sz w:val="21"/>
          <w:szCs w:val="21"/>
        </w:rPr>
      </w:pPr>
      <w:r w:rsidRPr="00676404">
        <w:rPr>
          <w:rFonts w:ascii="Arial" w:hAnsi="Arial" w:cs="Arial"/>
          <w:color w:val="2E74B5" w:themeColor="accent1" w:themeShade="BF"/>
          <w:sz w:val="21"/>
          <w:szCs w:val="21"/>
          <w:u w:val="single"/>
        </w:rPr>
        <w:t>HMS og Arbeidsmiljø</w:t>
      </w:r>
    </w:p>
    <w:p w14:paraId="016A3770" w14:textId="234BE82A"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Inka skal være en trygg arbeidsplass. HMS sikres blant annet gjennom forebyggende tiltak, effektiv internkontroll og tett samarbeid med bedriftshelsetjenesten. Inka skal tilfredsstille nasjonale og internasjonale krav innenfor helse miljø og sikkerhet. Vi er alle ansvarlig for å bidra til å oppnå disse målsettingene.</w:t>
      </w:r>
    </w:p>
    <w:p w14:paraId="32165C2A"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p>
    <w:p w14:paraId="62DD7A9C" w14:textId="77777777" w:rsidR="00676404" w:rsidRPr="00676404" w:rsidRDefault="00676404" w:rsidP="00676404">
      <w:pPr>
        <w:pStyle w:val="NormalWeb"/>
        <w:shd w:val="clear" w:color="auto" w:fill="FFFFFF"/>
        <w:spacing w:before="0" w:beforeAutospacing="0" w:after="150" w:afterAutospacing="0"/>
        <w:rPr>
          <w:rFonts w:ascii="Arial" w:hAnsi="Arial" w:cs="Arial"/>
          <w:color w:val="2E74B5" w:themeColor="accent1" w:themeShade="BF"/>
          <w:sz w:val="21"/>
          <w:szCs w:val="21"/>
        </w:rPr>
      </w:pPr>
      <w:r w:rsidRPr="00676404">
        <w:rPr>
          <w:rFonts w:ascii="Arial" w:hAnsi="Arial" w:cs="Arial"/>
          <w:color w:val="2E74B5" w:themeColor="accent1" w:themeShade="BF"/>
          <w:sz w:val="21"/>
          <w:szCs w:val="21"/>
          <w:u w:val="single"/>
        </w:rPr>
        <w:lastRenderedPageBreak/>
        <w:t>Likestilling og mangfold</w:t>
      </w:r>
    </w:p>
    <w:p w14:paraId="65B591FB"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Vi aksepterer ingen former for trakassering, mobbing eller diskriminering av ansatte, samarbeidspartnere eller andre som direkte eller indirekte er involvert i Inka sin virksomhet. </w:t>
      </w:r>
    </w:p>
    <w:p w14:paraId="01AE314A" w14:textId="4DA710E2"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Vi behandler våre kollegaer, kunder og leverandører og andre vi kommer i kontakt med gjennom vårt arbeid eller arbeidsrelaterte aktiviteter med høflighet og respekt, og gi</w:t>
      </w:r>
      <w:r w:rsidR="00477869">
        <w:rPr>
          <w:rFonts w:ascii="Arial" w:hAnsi="Arial" w:cs="Arial"/>
          <w:color w:val="414141"/>
          <w:sz w:val="21"/>
          <w:szCs w:val="21"/>
        </w:rPr>
        <w:t>r</w:t>
      </w:r>
      <w:r>
        <w:rPr>
          <w:rFonts w:ascii="Arial" w:hAnsi="Arial" w:cs="Arial"/>
          <w:color w:val="414141"/>
          <w:sz w:val="21"/>
          <w:szCs w:val="21"/>
        </w:rPr>
        <w:t xml:space="preserve"> like muligheter til alle gjennom et profesjonelt, positivt og inkluderende arbeidsmiljø. </w:t>
      </w:r>
      <w:r>
        <w:rPr>
          <w:rFonts w:ascii="Arial" w:hAnsi="Arial" w:cs="Arial"/>
          <w:color w:val="414141"/>
          <w:sz w:val="21"/>
          <w:szCs w:val="21"/>
          <w:shd w:val="clear" w:color="auto" w:fill="FFFFFF"/>
        </w:rPr>
        <w:t>Vi er åpne og tydelige, samt bidrar til gode løsninger. Vi opptrer på en måte som ikke krenker menneskeverdet og tar aktivt avstand fra enhver uetisk praksis.</w:t>
      </w:r>
      <w:r>
        <w:rPr>
          <w:rFonts w:ascii="Arial" w:hAnsi="Arial" w:cs="Arial"/>
          <w:color w:val="414141"/>
          <w:sz w:val="21"/>
          <w:szCs w:val="21"/>
        </w:rPr>
        <w:t> Vi skal stimulere til faglig og personlig vekst uavhengig av kjønn, nasjonalitet, religion, funksjonsevne, seksuell orientering alder eller politisk ståsted. Vi er alle ansvarlig for at diskriminering av kollegaer eller seksuell trakassering ikke finner sted i Inka.</w:t>
      </w:r>
    </w:p>
    <w:p w14:paraId="12A594F7" w14:textId="77777777" w:rsidR="00676404" w:rsidRPr="00676404" w:rsidRDefault="00676404" w:rsidP="00676404">
      <w:pPr>
        <w:pStyle w:val="NormalWeb"/>
        <w:shd w:val="clear" w:color="auto" w:fill="FFFFFF"/>
        <w:spacing w:before="0" w:beforeAutospacing="0" w:after="150" w:afterAutospacing="0"/>
        <w:rPr>
          <w:rFonts w:ascii="Arial" w:hAnsi="Arial" w:cs="Arial"/>
          <w:color w:val="2E74B5" w:themeColor="accent1" w:themeShade="BF"/>
          <w:sz w:val="21"/>
          <w:szCs w:val="21"/>
        </w:rPr>
      </w:pPr>
      <w:r w:rsidRPr="00676404">
        <w:rPr>
          <w:rFonts w:ascii="Arial" w:hAnsi="Arial" w:cs="Arial"/>
          <w:color w:val="2E74B5" w:themeColor="accent1" w:themeShade="BF"/>
          <w:sz w:val="21"/>
          <w:szCs w:val="21"/>
          <w:u w:val="single"/>
        </w:rPr>
        <w:t>Rus</w:t>
      </w:r>
    </w:p>
    <w:p w14:paraId="75507A3B"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Vi har et rusfritt arbeidsmiljø og tar avstand fra sammenblanding av rus og arbeid. Vi tolerer ikke at våre kolleger er beruset på jobb.</w:t>
      </w:r>
    </w:p>
    <w:p w14:paraId="2B6E2A9D" w14:textId="77777777" w:rsidR="00676404" w:rsidRPr="00676404" w:rsidRDefault="00676404" w:rsidP="00676404">
      <w:pPr>
        <w:pStyle w:val="NormalWeb"/>
        <w:shd w:val="clear" w:color="auto" w:fill="FFFFFF"/>
        <w:spacing w:before="0" w:beforeAutospacing="0" w:after="150" w:afterAutospacing="0"/>
        <w:rPr>
          <w:rFonts w:ascii="Arial" w:hAnsi="Arial" w:cs="Arial"/>
          <w:color w:val="2E74B5" w:themeColor="accent1" w:themeShade="BF"/>
          <w:sz w:val="21"/>
          <w:szCs w:val="21"/>
        </w:rPr>
      </w:pPr>
      <w:r w:rsidRPr="00676404">
        <w:rPr>
          <w:rFonts w:ascii="Arial" w:hAnsi="Arial" w:cs="Arial"/>
          <w:color w:val="2E74B5" w:themeColor="accent1" w:themeShade="BF"/>
          <w:sz w:val="21"/>
          <w:szCs w:val="21"/>
          <w:u w:val="single"/>
        </w:rPr>
        <w:t>Varsling</w:t>
      </w:r>
    </w:p>
    <w:p w14:paraId="3C658235" w14:textId="3E9C7E10"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 xml:space="preserve">Inka oppfordrer alle til å melde fra om forhold som ikke er som de bør. Varsling bør skje til de nærmeste overordnede, alternativt kan en ta kontakt med verneombudet eller personal koordinator. Ledelsen skal beskytte de som varsler, og ta aktivt initiativ til å rette opp kritikkverdige forhold. Informasjon om varsling henger synlig i </w:t>
      </w:r>
      <w:r w:rsidR="00EB61DF">
        <w:rPr>
          <w:rFonts w:ascii="Arial" w:hAnsi="Arial" w:cs="Arial"/>
          <w:color w:val="414141"/>
          <w:sz w:val="21"/>
          <w:szCs w:val="21"/>
        </w:rPr>
        <w:t>begge fabrikker</w:t>
      </w:r>
      <w:r>
        <w:rPr>
          <w:rFonts w:ascii="Arial" w:hAnsi="Arial" w:cs="Arial"/>
          <w:color w:val="414141"/>
          <w:sz w:val="21"/>
          <w:szCs w:val="21"/>
        </w:rPr>
        <w:t>.</w:t>
      </w:r>
      <w:r w:rsidR="00EB61DF">
        <w:rPr>
          <w:rFonts w:ascii="Arial" w:hAnsi="Arial" w:cs="Arial"/>
          <w:color w:val="414141"/>
          <w:sz w:val="21"/>
          <w:szCs w:val="21"/>
        </w:rPr>
        <w:t xml:space="preserve"> Varsling kan også adresseres til </w:t>
      </w:r>
      <w:hyperlink r:id="rId7" w:history="1">
        <w:r w:rsidR="00F6131D" w:rsidRPr="00AB16F4">
          <w:rPr>
            <w:rStyle w:val="Hyperkobling"/>
            <w:rFonts w:ascii="Arial" w:hAnsi="Arial" w:cs="Arial"/>
            <w:sz w:val="21"/>
            <w:szCs w:val="21"/>
          </w:rPr>
          <w:t>varsling@inkafisk.no</w:t>
        </w:r>
      </w:hyperlink>
    </w:p>
    <w:p w14:paraId="5FB26347" w14:textId="77777777" w:rsidR="00F6131D" w:rsidRDefault="00F6131D" w:rsidP="00676404">
      <w:pPr>
        <w:pStyle w:val="NormalWeb"/>
        <w:shd w:val="clear" w:color="auto" w:fill="FFFFFF"/>
        <w:spacing w:before="0" w:beforeAutospacing="0" w:after="150" w:afterAutospacing="0"/>
        <w:rPr>
          <w:rFonts w:ascii="Arial" w:hAnsi="Arial" w:cs="Arial"/>
          <w:color w:val="414141"/>
          <w:sz w:val="21"/>
          <w:szCs w:val="21"/>
        </w:rPr>
      </w:pPr>
    </w:p>
    <w:p w14:paraId="1D40F56F" w14:textId="14997F39" w:rsidR="00676404" w:rsidRPr="00676404" w:rsidRDefault="00676404" w:rsidP="00676404">
      <w:pPr>
        <w:pStyle w:val="NormalWeb"/>
        <w:shd w:val="clear" w:color="auto" w:fill="FFFFFF"/>
        <w:spacing w:before="0" w:beforeAutospacing="0" w:after="150" w:afterAutospacing="0"/>
        <w:rPr>
          <w:rFonts w:ascii="Arial" w:hAnsi="Arial" w:cs="Arial"/>
          <w:color w:val="2E74B5" w:themeColor="accent1" w:themeShade="BF"/>
          <w:sz w:val="21"/>
          <w:szCs w:val="21"/>
        </w:rPr>
      </w:pPr>
      <w:r w:rsidRPr="00676404">
        <w:rPr>
          <w:rFonts w:ascii="Arial" w:hAnsi="Arial" w:cs="Arial"/>
          <w:color w:val="2E74B5" w:themeColor="accent1" w:themeShade="BF"/>
          <w:sz w:val="21"/>
          <w:szCs w:val="21"/>
          <w:u w:val="single"/>
        </w:rPr>
        <w:t>Kunder, leverandører og samarbeidspartnere</w:t>
      </w:r>
    </w:p>
    <w:p w14:paraId="6014766B"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Inka forventer at våre kunder, leverandører og våre samarbeidspartnere forholder seg aktivt til menneskerettigheter, arbeidsforhold, miljøstyring og driver en etisk virksomhet.</w:t>
      </w:r>
    </w:p>
    <w:p w14:paraId="0C0FD193"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Vi forventer at de avstår fra brudd på menneskerettighetene, som beskrevet i FNs verdenserklæring for menneskerettigheter, både i egen organisasjon og bakover i verdikjeden. Virksomheter vi har avtaler med skal følge prinsippene for etisk handel. Etisk handel skal forhindre barnearbeid, seksuelt misbruk av barn, tvangsarbeid og diskriminering. Etisk handel skal trygge arbeidsplasser og regulere ansettelser med arbeidskontrakter.</w:t>
      </w:r>
    </w:p>
    <w:p w14:paraId="55E79AB1" w14:textId="77777777" w:rsidR="00676404" w:rsidRDefault="00676404" w:rsidP="00676404">
      <w:pPr>
        <w:pStyle w:val="NormalWeb"/>
        <w:shd w:val="clear" w:color="auto" w:fill="FFFFFF"/>
        <w:spacing w:before="0" w:beforeAutospacing="0" w:after="150" w:afterAutospacing="0"/>
        <w:rPr>
          <w:rFonts w:ascii="Arial" w:hAnsi="Arial" w:cs="Arial"/>
          <w:color w:val="414141"/>
          <w:sz w:val="21"/>
          <w:szCs w:val="21"/>
        </w:rPr>
      </w:pPr>
      <w:r>
        <w:rPr>
          <w:rFonts w:ascii="Arial" w:hAnsi="Arial" w:cs="Arial"/>
          <w:color w:val="414141"/>
          <w:sz w:val="21"/>
          <w:szCs w:val="21"/>
        </w:rPr>
        <w:t>Inka forventer også at kunder, leverandører, underleverandører og samarbeidspartnere overholder alle lokale, nasjonale og internasjonale regler som gjelder ordnede arbeidsforhold og helse miljø og sikkerhetsmessige forhold. Det forventes at de driver i samsvar med relevante lover og regler for etisk forretningspraksis, herunder at det tas avstand fra enhver form for økonomisk kriminalitet.</w:t>
      </w:r>
    </w:p>
    <w:p w14:paraId="31264B2C" w14:textId="77777777" w:rsidR="00676404" w:rsidRPr="00676404" w:rsidRDefault="00676404" w:rsidP="00676404">
      <w:pPr>
        <w:rPr>
          <w:rFonts w:ascii="Calibri" w:hAnsi="Calibri"/>
          <w:sz w:val="22"/>
          <w:szCs w:val="22"/>
        </w:rPr>
      </w:pPr>
    </w:p>
    <w:p w14:paraId="1CB589B7" w14:textId="77777777" w:rsidR="00380456" w:rsidRPr="007F23D8" w:rsidRDefault="00380456" w:rsidP="007F23D8"/>
    <w:sectPr w:rsidR="00380456" w:rsidRPr="007F23D8" w:rsidSect="008739C5">
      <w:headerReference w:type="default" r:id="rId8"/>
      <w:footerReference w:type="default" r:id="rId9"/>
      <w:pgSz w:w="11906" w:h="16838"/>
      <w:pgMar w:top="1985" w:right="1418" w:bottom="1418" w:left="1418" w:header="426" w:footer="62"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A1AB3" w14:textId="77777777" w:rsidR="0064708D" w:rsidRDefault="0064708D">
      <w:r>
        <w:separator/>
      </w:r>
    </w:p>
  </w:endnote>
  <w:endnote w:type="continuationSeparator" w:id="0">
    <w:p w14:paraId="20313125" w14:textId="77777777" w:rsidR="0064708D" w:rsidRDefault="0064708D">
      <w:r>
        <w:continuationSeparator/>
      </w:r>
    </w:p>
  </w:endnote>
  <w:endnote w:type="continuationNotice" w:id="1">
    <w:p w14:paraId="4E71D54A" w14:textId="77777777" w:rsidR="0064708D" w:rsidRDefault="00647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558"/>
      <w:gridCol w:w="3828"/>
      <w:gridCol w:w="990"/>
    </w:tblGrid>
    <w:tr w:rsidR="008739C5" w:rsidRPr="000F64B8" w14:paraId="2F4B855A" w14:textId="77777777" w:rsidTr="001C4D8D">
      <w:trPr>
        <w:trHeight w:val="80"/>
      </w:trPr>
      <w:tc>
        <w:tcPr>
          <w:tcW w:w="391" w:type="pct"/>
          <w:tcMar>
            <w:left w:w="0" w:type="dxa"/>
          </w:tcMar>
          <w:hideMark/>
        </w:tcPr>
        <w:p w14:paraId="3BD2AB0A" w14:textId="76752266" w:rsidR="008739C5" w:rsidRPr="000F64B8" w:rsidRDefault="008739C5" w:rsidP="002F4CEF">
          <w:pPr>
            <w:pStyle w:val="Bunntekst"/>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sz w:val="16"/>
              <w:szCs w:val="16"/>
            </w:rPr>
          </w:pPr>
          <w:r w:rsidRPr="000F64B8">
            <w:rPr>
              <w:sz w:val="16"/>
              <w:szCs w:val="16"/>
            </w:rPr>
            <w:t xml:space="preserve">ID: </w:t>
          </w:r>
          <w:r w:rsidRPr="000F64B8">
            <w:rPr>
              <w:sz w:val="16"/>
              <w:szCs w:val="16"/>
            </w:rPr>
          </w:r>
          <w:r>
            <w:rPr>
              <w:noProof/>
              <w:sz w:val="16"/>
              <w:szCs w:val="16"/>
            </w:rPr>
            <w:t>4239</w:t>
          </w:r>
        </w:p>
      </w:tc>
      <w:tc>
        <w:tcPr>
          <w:tcW w:w="1094" w:type="pct"/>
          <w:hideMark/>
        </w:tcPr>
        <w:p w14:paraId="1BF87BB2" w14:textId="0553FD22" w:rsidR="008739C5" w:rsidRPr="000F64B8" w:rsidRDefault="008739C5" w:rsidP="002F4CEF">
          <w:pPr>
            <w:pStyle w:val="Bunntekst"/>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sz w:val="16"/>
              <w:szCs w:val="16"/>
            </w:rPr>
          </w:pPr>
          <w:r w:rsidRPr="000F64B8">
            <w:rPr>
              <w:sz w:val="16"/>
              <w:szCs w:val="16"/>
            </w:rPr>
            <w:t xml:space="preserve">Revisjonsdato: </w:t>
          </w:r>
          <w:r w:rsidRPr="000F64B8">
            <w:rPr>
              <w:sz w:val="16"/>
              <w:szCs w:val="16"/>
            </w:rPr>
          </w:r>
          <w:r>
            <w:rPr>
              <w:noProof/>
              <w:sz w:val="16"/>
              <w:szCs w:val="16"/>
            </w:rPr>
            <w:t>05.02.2024</w:t>
          </w:r>
        </w:p>
      </w:tc>
      <w:tc>
        <w:tcPr>
          <w:tcW w:w="859" w:type="pct"/>
          <w:tcBorders>
            <w:top w:val="nil"/>
          </w:tcBorders>
          <w:hideMark/>
        </w:tcPr>
        <w:p w14:paraId="26AE2612" w14:textId="5A378242" w:rsidR="008739C5" w:rsidRPr="000F64B8" w:rsidRDefault="008739C5" w:rsidP="002F4CEF">
          <w:pPr>
            <w:pStyle w:val="Bunntekst"/>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sz w:val="16"/>
              <w:szCs w:val="16"/>
            </w:rPr>
          </w:pPr>
          <w:r w:rsidRPr="000F64B8">
            <w:rPr>
              <w:sz w:val="16"/>
              <w:szCs w:val="16"/>
            </w:rPr>
            <w:t xml:space="preserve">Versjonsnummer: </w:t>
          </w:r>
          <w:r w:rsidRPr="000F64B8">
            <w:rPr>
              <w:sz w:val="16"/>
              <w:szCs w:val="16"/>
            </w:rPr>
          </w:r>
          <w:r>
            <w:rPr>
              <w:noProof/>
              <w:sz w:val="16"/>
              <w:szCs w:val="16"/>
            </w:rPr>
            <w:t>2</w:t>
          </w:r>
        </w:p>
      </w:tc>
      <w:tc>
        <w:tcPr>
          <w:tcW w:w="2110" w:type="pct"/>
          <w:hideMark/>
        </w:tcPr>
        <w:p w14:paraId="01F7422E" w14:textId="550DFC97" w:rsidR="008739C5" w:rsidRPr="000F64B8" w:rsidRDefault="008739C5" w:rsidP="002F4CEF">
          <w:pPr>
            <w:pStyle w:val="Bunntekst"/>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sz w:val="16"/>
              <w:szCs w:val="16"/>
            </w:rPr>
          </w:pPr>
          <w:r w:rsidRPr="000F64B8">
            <w:rPr>
              <w:sz w:val="16"/>
              <w:szCs w:val="16"/>
            </w:rPr>
            <w:t xml:space="preserve">Ansvarlig: </w:t>
          </w:r>
          <w:r w:rsidRPr="000F64B8">
            <w:rPr>
              <w:sz w:val="16"/>
              <w:szCs w:val="16"/>
            </w:rPr>
          </w:r>
          <w:r>
            <w:rPr>
              <w:noProof/>
              <w:sz w:val="16"/>
              <w:szCs w:val="16"/>
            </w:rPr>
            <w:t>Kari Marie Austevoll Lyssand</w:t>
          </w:r>
        </w:p>
      </w:tc>
      <w:tc>
        <w:tcPr>
          <w:tcW w:w="546" w:type="pct"/>
          <w:tcMar>
            <w:right w:w="0" w:type="dxa"/>
          </w:tcMar>
          <w:hideMark/>
        </w:tcPr>
        <w:p w14:paraId="05B296B0" w14:textId="77777777" w:rsidR="008739C5" w:rsidRPr="000F64B8" w:rsidRDefault="008739C5" w:rsidP="00527388">
          <w:pPr>
            <w:pStyle w:val="Bunntekst"/>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rPr>
              <w:sz w:val="16"/>
              <w:szCs w:val="16"/>
            </w:rPr>
          </w:pPr>
          <w:r w:rsidRPr="000F64B8">
            <w:rPr>
              <w:sz w:val="16"/>
              <w:szCs w:val="16"/>
            </w:rPr>
            <w:t xml:space="preserve">Side </w:t>
          </w:r>
          <w:r w:rsidRPr="000F64B8">
            <w:rPr>
              <w:sz w:val="16"/>
              <w:szCs w:val="16"/>
            </w:rPr>
            <w:fldChar w:fldCharType="begin"/>
          </w:r>
          <w:r w:rsidRPr="000F64B8">
            <w:rPr>
              <w:sz w:val="16"/>
              <w:szCs w:val="16"/>
            </w:rPr>
            <w:instrText xml:space="preserve"> PAGE \* Arabic \* MERGEFORMAT </w:instrText>
          </w:r>
          <w:r w:rsidRPr="000F64B8">
            <w:rPr>
              <w:sz w:val="16"/>
              <w:szCs w:val="16"/>
            </w:rPr>
            <w:fldChar w:fldCharType="separate"/>
          </w:r>
          <w:r>
            <w:rPr>
              <w:noProof/>
              <w:sz w:val="16"/>
              <w:szCs w:val="16"/>
            </w:rPr>
            <w:t>1</w:t>
          </w:r>
          <w:r w:rsidRPr="000F64B8">
            <w:rPr>
              <w:sz w:val="16"/>
              <w:szCs w:val="16"/>
            </w:rPr>
            <w:fldChar w:fldCharType="end"/>
          </w:r>
          <w:r w:rsidRPr="000F64B8">
            <w:rPr>
              <w:sz w:val="16"/>
              <w:szCs w:val="16"/>
            </w:rPr>
            <w:t xml:space="preserve"> av </w:t>
          </w:r>
          <w:r w:rsidRPr="000F64B8">
            <w:rPr>
              <w:sz w:val="16"/>
              <w:szCs w:val="16"/>
            </w:rPr>
            <w:fldChar w:fldCharType="begin"/>
          </w:r>
          <w:r w:rsidRPr="000F64B8">
            <w:rPr>
              <w:sz w:val="16"/>
              <w:szCs w:val="16"/>
            </w:rPr>
            <w:instrText xml:space="preserve"> NUMPAGES </w:instrText>
          </w:r>
          <w:r w:rsidRPr="000F64B8">
            <w:rPr>
              <w:sz w:val="16"/>
              <w:szCs w:val="16"/>
            </w:rPr>
            <w:fldChar w:fldCharType="separate"/>
          </w:r>
          <w:r>
            <w:rPr>
              <w:noProof/>
              <w:sz w:val="16"/>
              <w:szCs w:val="16"/>
            </w:rPr>
            <w:t>1</w:t>
          </w:r>
          <w:r w:rsidRPr="000F64B8">
            <w:rPr>
              <w:sz w:val="16"/>
              <w:szCs w:val="16"/>
            </w:rPr>
            <w:fldChar w:fldCharType="end"/>
          </w:r>
        </w:p>
      </w:tc>
    </w:tr>
  </w:tbl>
  <w:p w14:paraId="7F47ACFE" w14:textId="77777777" w:rsidR="008739C5" w:rsidRDefault="008739C5" w:rsidP="002F4CEF">
    <w:pPr>
      <w:pStyle w:val="Bunntekst"/>
      <w:jc w:val="center"/>
      <w:rPr>
        <w:sz w:val="18"/>
      </w:rPr>
    </w:pPr>
  </w:p>
  <w:p w14:paraId="7BC47F06" w14:textId="042DAAB9" w:rsidR="008739C5" w:rsidRPr="004615B9" w:rsidRDefault="008739C5" w:rsidP="002F4CEF">
    <w:pPr>
      <w:pStyle w:val="Bunntekst"/>
      <w:jc w:val="center"/>
      <w:rPr>
        <w:sz w:val="16"/>
        <w:szCs w:val="16"/>
      </w:rPr>
    </w:pPr>
    <w:r w:rsidRPr="004615B9">
      <w:rPr>
        <w:sz w:val="16"/>
        <w:szCs w:val="16"/>
      </w:rPr>
      <w:t xml:space="preserve">Utskriftsdato: </w:t>
    </w:r>
    <w:r w:rsidRPr="004615B9">
      <w:rPr>
        <w:sz w:val="16"/>
        <w:szCs w:val="16"/>
        <w:lang w:val="en-CA"/>
      </w:rPr>
      <w:fldChar w:fldCharType="begin"/>
    </w:r>
    <w:r w:rsidRPr="004615B9">
      <w:rPr>
        <w:sz w:val="16"/>
        <w:szCs w:val="16"/>
        <w:lang w:val="en-CA"/>
      </w:rPr>
      <w:instrText xml:space="preserve"> TIME \@ "dd.MM.yyyy" </w:instrText>
    </w:r>
    <w:r w:rsidRPr="004615B9">
      <w:rPr>
        <w:sz w:val="16"/>
        <w:szCs w:val="16"/>
        <w:lang w:val="en-CA"/>
      </w:rPr>
      <w:fldChar w:fldCharType="separate"/>
    </w:r>
    <w:r w:rsidR="00EB61DF">
      <w:rPr>
        <w:noProof/>
        <w:sz w:val="16"/>
        <w:szCs w:val="16"/>
        <w:lang w:val="en-CA"/>
      </w:rPr>
      <w:t>19.07.2024</w:t>
    </w:r>
    <w:r w:rsidRPr="004615B9">
      <w:rPr>
        <w:sz w:val="16"/>
        <w:szCs w:val="16"/>
        <w:lang w:val="en-CA"/>
      </w:rPr>
      <w:fldChar w:fldCharType="end"/>
    </w:r>
  </w:p>
  <w:p w14:paraId="23880C15" w14:textId="77777777" w:rsidR="007F23D8" w:rsidRDefault="007F23D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4B7F1" w14:textId="77777777" w:rsidR="0064708D" w:rsidRDefault="0064708D">
      <w:r>
        <w:separator/>
      </w:r>
    </w:p>
  </w:footnote>
  <w:footnote w:type="continuationSeparator" w:id="0">
    <w:p w14:paraId="382433CE" w14:textId="77777777" w:rsidR="0064708D" w:rsidRDefault="0064708D">
      <w:r>
        <w:continuationSeparator/>
      </w:r>
    </w:p>
  </w:footnote>
  <w:footnote w:type="continuationNotice" w:id="1">
    <w:p w14:paraId="52E73BF5" w14:textId="77777777" w:rsidR="0064708D" w:rsidRDefault="006470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1"/>
      <w:gridCol w:w="3457"/>
    </w:tblGrid>
    <w:tr w:rsidR="008739C5" w:rsidRPr="00052D1F" w14:paraId="420C5C73" w14:textId="77777777" w:rsidTr="008739C5">
      <w:trPr>
        <w:trHeight w:val="829"/>
      </w:trPr>
      <w:tc>
        <w:tcPr>
          <w:tcW w:w="3100" w:type="pct"/>
          <w:tcBorders>
            <w:top w:val="nil"/>
            <w:left w:val="nil"/>
            <w:right w:val="nil"/>
          </w:tcBorders>
          <w:shd w:val="clear" w:color="auto" w:fill="auto"/>
          <w:tcMar>
            <w:left w:w="28" w:type="dxa"/>
            <w:bottom w:w="28" w:type="dxa"/>
          </w:tcMar>
          <w:vAlign w:val="bottom"/>
        </w:tcPr>
        <w:p w14:paraId="0A0619E0" w14:textId="77777777" w:rsidR="008739C5" w:rsidRPr="008739C5" w:rsidRDefault="008739C5" w:rsidP="004165C1">
          <w:pPr>
            <w:rPr>
              <w:b/>
              <w:sz w:val="18"/>
              <w:szCs w:val="18"/>
              <w:lang w:val="en-CA"/>
            </w:rPr>
          </w:pPr>
        </w:p>
        <w:p w14:paraId="271B6697" w14:textId="27BEA9FF" w:rsidR="008739C5" w:rsidRPr="008739C5" w:rsidRDefault="008739C5" w:rsidP="008739C5">
          <w:pPr>
            <w:tabs>
              <w:tab w:val="left" w:pos="2340"/>
            </w:tabs>
            <w:rPr>
              <w:sz w:val="36"/>
              <w:szCs w:val="36"/>
              <w:lang w:val="en-CA"/>
            </w:rPr>
          </w:pPr>
          <w:r w:rsidRPr="008739C5">
            <w:rPr>
              <w:sz w:val="36"/>
              <w:szCs w:val="36"/>
              <w:lang w:val="en-CA"/>
            </w:rPr>
          </w:r>
          <w:r>
            <w:rPr>
              <w:noProof/>
              <w:sz w:val="36"/>
              <w:szCs w:val="36"/>
              <w:lang w:val="en-CA"/>
            </w:rPr>
            <w:t>Etiske retningslinjer</w:t>
          </w:r>
        </w:p>
      </w:tc>
      <w:tc>
        <w:tcPr>
          <w:tcW w:w="1900" w:type="pct"/>
          <w:tcBorders>
            <w:top w:val="nil"/>
            <w:left w:val="nil"/>
            <w:right w:val="nil"/>
          </w:tcBorders>
          <w:shd w:val="clear" w:color="auto" w:fill="auto"/>
          <w:tcMar>
            <w:right w:w="0" w:type="dxa"/>
          </w:tcMar>
        </w:tcPr>
        <w:p w14:paraId="613B7BE1" w14:textId="6DD5205B" w:rsidR="008739C5" w:rsidRPr="008739C5" w:rsidRDefault="008739C5" w:rsidP="008739C5">
          <w:pPr>
            <w:jc w:val="right"/>
            <w:rPr>
              <w:sz w:val="18"/>
              <w:szCs w:val="18"/>
              <w:lang w:val="en-CA"/>
            </w:rPr>
          </w:pPr>
          <w:r w:rsidRPr="008739C5">
            <w:rPr>
              <w:sz w:val="18"/>
              <w:szCs w:val="18"/>
              <w:lang w:val="en-CA"/>
            </w:rPr>
          </w:r>
          <w:r w:rsidRPr="008739C5">
            <w:rPr>
              <w:noProof/>
              <w:sz w:val="18"/>
              <w:szCs w:val="18"/>
              <w:lang w:val="en-CA"/>
            </w:rPr>
            <w:drawing xmlns:a="http://schemas.openxmlformats.org/drawingml/2006/main" xmlns:pic="http://schemas.openxmlformats.org/drawingml/2006/picture" xmlns:a14="http://schemas.microsoft.com/office/drawing/2010/main">
              <wp:inline distT="0" distB="0" distL="0" distR="0">
                <wp:extent cx="1905000" cy="428625"/>
                <wp:effectExtent l="0" t="0" r="0" b="0"/>
                <wp:docPr id="12" name="Picture 2" descr="Logo"/>
                <wp:cNvGraphicFramePr>
                  <a:graphicFrameLocks noChangeAspect="1"/>
                </wp:cNvGraphicFramePr>
                <a:graphic>
                  <a:graphicData uri="http://schemas.openxmlformats.org/drawingml/2006/picture">
                    <pic:pic>
                      <pic:nvPicPr>
                        <pic:cNvPr id="0" name="Picture 6" descr="Logo"/>
                        <pic:cNvPicPr>
                          <a:picLocks noChangeAspect="1" noChangeArrowheads="1"/>
                        </pic:cNvPicPr>
                      </pic:nvPicPr>
                      <pic:blipFill>
                        <a:blip r:embed="rId12">
                          <a:extLst>
                            <a:ext uri="{28A0092B-C50C-407E-A947-70E740481C1C}">
                              <a14:useLocalDpi val="0"/>
                            </a:ext>
                          </a:extLst>
                        </a:blip>
                        <a:srcRect/>
                        <a:stretch>
                          <a:fillRect/>
                        </a:stretch>
                      </pic:blipFill>
                      <pic:spPr bwMode="auto">
                        <a:xfrm>
                          <a:off x="0" y="0"/>
                          <a:ext cx="1905000" cy="428625"/>
                        </a:xfrm>
                        <a:prstGeom prst="rect">
                          <a:avLst/>
                        </a:prstGeom>
                        <a:noFill/>
                        <a:ln>
                          <a:noFill/>
                        </a:ln>
                      </pic:spPr>
                    </pic:pic>
                  </a:graphicData>
                </a:graphic>
              </wp:inline>
            </w:drawing>
          </w:r>
        </w:p>
      </w:tc>
    </w:tr>
  </w:tbl>
  <w:p w14:paraId="55A7003A" w14:textId="77777777" w:rsidR="0064708D" w:rsidRPr="00D64C28" w:rsidRDefault="0064708D">
    <w:pPr>
      <w:pStyle w:val="Topptekst"/>
      <w:pBdr>
        <w:top w:val="double" w:sz="20" w:space="1" w:color="C0C0C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Overskrift1"/>
      <w:suff w:val="nothing"/>
      <w:lvlText w:val="%1"/>
      <w:lvlJc w:val="left"/>
      <w:pPr>
        <w:tabs>
          <w:tab w:val="num" w:pos="0"/>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00000003"/>
    <w:name w:val="WW8Num7"/>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04"/>
    <w:multiLevelType w:val="singleLevel"/>
    <w:tmpl w:val="00000004"/>
    <w:name w:val="WW8Num8"/>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626C23A3"/>
    <w:multiLevelType w:val="multilevel"/>
    <w:tmpl w:val="D9E60DCE"/>
    <w:lvl w:ilvl="0">
      <w:start w:val="1"/>
      <w:numFmt w:val="decimal"/>
      <w:lvlText w:val="%1."/>
      <w:lvlJc w:val="left"/>
      <w:pPr>
        <w:ind w:left="360" w:hanging="360"/>
      </w:pPr>
      <w:rPr>
        <w:b/>
      </w:rPr>
    </w:lvl>
    <w:lvl w:ilvl="1">
      <w:start w:val="1"/>
      <w:numFmt w:val="decimal"/>
      <w:isLgl/>
      <w:lvlText w:val="%1.%2."/>
      <w:lvlJc w:val="left"/>
      <w:pPr>
        <w:ind w:left="360" w:hanging="360"/>
      </w:pPr>
      <w:rPr>
        <w:sz w:val="22"/>
      </w:rPr>
    </w:lvl>
    <w:lvl w:ilvl="2">
      <w:start w:val="1"/>
      <w:numFmt w:val="decimal"/>
      <w:isLgl/>
      <w:lvlText w:val="%1.%2.%3."/>
      <w:lvlJc w:val="left"/>
      <w:pPr>
        <w:ind w:left="1080" w:hanging="720"/>
      </w:pPr>
      <w:rPr>
        <w:sz w:val="22"/>
      </w:rPr>
    </w:lvl>
    <w:lvl w:ilvl="3">
      <w:start w:val="1"/>
      <w:numFmt w:val="decimal"/>
      <w:isLgl/>
      <w:lvlText w:val="%1.%2.%3.%4."/>
      <w:lvlJc w:val="left"/>
      <w:pPr>
        <w:ind w:left="1080" w:hanging="720"/>
      </w:pPr>
      <w:rPr>
        <w:sz w:val="22"/>
      </w:rPr>
    </w:lvl>
    <w:lvl w:ilvl="4">
      <w:start w:val="1"/>
      <w:numFmt w:val="decimal"/>
      <w:isLgl/>
      <w:lvlText w:val="%1.%2.%3.%4.%5."/>
      <w:lvlJc w:val="left"/>
      <w:pPr>
        <w:ind w:left="1440" w:hanging="1080"/>
      </w:pPr>
      <w:rPr>
        <w:sz w:val="22"/>
      </w:rPr>
    </w:lvl>
    <w:lvl w:ilvl="5">
      <w:start w:val="1"/>
      <w:numFmt w:val="decimal"/>
      <w:isLgl/>
      <w:lvlText w:val="%1.%2.%3.%4.%5.%6."/>
      <w:lvlJc w:val="left"/>
      <w:pPr>
        <w:ind w:left="1440" w:hanging="1080"/>
      </w:pPr>
      <w:rPr>
        <w:sz w:val="22"/>
      </w:rPr>
    </w:lvl>
    <w:lvl w:ilvl="6">
      <w:start w:val="1"/>
      <w:numFmt w:val="decimal"/>
      <w:isLgl/>
      <w:lvlText w:val="%1.%2.%3.%4.%5.%6.%7."/>
      <w:lvlJc w:val="left"/>
      <w:pPr>
        <w:ind w:left="1800" w:hanging="1440"/>
      </w:pPr>
      <w:rPr>
        <w:sz w:val="22"/>
      </w:rPr>
    </w:lvl>
    <w:lvl w:ilvl="7">
      <w:start w:val="1"/>
      <w:numFmt w:val="decimal"/>
      <w:isLgl/>
      <w:lvlText w:val="%1.%2.%3.%4.%5.%6.%7.%8."/>
      <w:lvlJc w:val="left"/>
      <w:pPr>
        <w:ind w:left="1800" w:hanging="1440"/>
      </w:pPr>
      <w:rPr>
        <w:sz w:val="22"/>
      </w:rPr>
    </w:lvl>
    <w:lvl w:ilvl="8">
      <w:start w:val="1"/>
      <w:numFmt w:val="decimal"/>
      <w:isLgl/>
      <w:lvlText w:val="%1.%2.%3.%4.%5.%6.%7.%8.%9."/>
      <w:lvlJc w:val="left"/>
      <w:pPr>
        <w:ind w:left="2160" w:hanging="1800"/>
      </w:pPr>
      <w:rPr>
        <w:sz w:val="22"/>
      </w:rPr>
    </w:lvl>
  </w:abstractNum>
  <w:abstractNum w:abstractNumId="5" w15:restartNumberingAfterBreak="0">
    <w:nsid w:val="6C4D0464"/>
    <w:multiLevelType w:val="hybridMultilevel"/>
    <w:tmpl w:val="3BF20E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03797495">
    <w:abstractNumId w:val="0"/>
  </w:num>
  <w:num w:numId="2" w16cid:durableId="1953438418">
    <w:abstractNumId w:val="1"/>
  </w:num>
  <w:num w:numId="3" w16cid:durableId="1870102049">
    <w:abstractNumId w:val="2"/>
  </w:num>
  <w:num w:numId="4" w16cid:durableId="334306108">
    <w:abstractNumId w:val="3"/>
  </w:num>
  <w:num w:numId="5" w16cid:durableId="2029796901">
    <w:abstractNumId w:val="5"/>
  </w:num>
  <w:num w:numId="6" w16cid:durableId="780497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6BE"/>
    <w:rsid w:val="00000BFE"/>
    <w:rsid w:val="0002588C"/>
    <w:rsid w:val="000B1E3E"/>
    <w:rsid w:val="000B6F9C"/>
    <w:rsid w:val="000C5FDF"/>
    <w:rsid w:val="00100F7A"/>
    <w:rsid w:val="00130B2B"/>
    <w:rsid w:val="00145FC5"/>
    <w:rsid w:val="00156BAF"/>
    <w:rsid w:val="001A006F"/>
    <w:rsid w:val="002458D1"/>
    <w:rsid w:val="00247707"/>
    <w:rsid w:val="002923F4"/>
    <w:rsid w:val="002B763D"/>
    <w:rsid w:val="002C1023"/>
    <w:rsid w:val="00361476"/>
    <w:rsid w:val="00380456"/>
    <w:rsid w:val="0039043A"/>
    <w:rsid w:val="003B4529"/>
    <w:rsid w:val="003C06B5"/>
    <w:rsid w:val="003D7A05"/>
    <w:rsid w:val="003F2C17"/>
    <w:rsid w:val="003F3BF7"/>
    <w:rsid w:val="00441854"/>
    <w:rsid w:val="00477869"/>
    <w:rsid w:val="00542E0B"/>
    <w:rsid w:val="00572474"/>
    <w:rsid w:val="00621618"/>
    <w:rsid w:val="006352C3"/>
    <w:rsid w:val="00643166"/>
    <w:rsid w:val="0064708D"/>
    <w:rsid w:val="00674252"/>
    <w:rsid w:val="00676404"/>
    <w:rsid w:val="006807F7"/>
    <w:rsid w:val="00772AD3"/>
    <w:rsid w:val="00775AB5"/>
    <w:rsid w:val="00793A9F"/>
    <w:rsid w:val="007A2DCF"/>
    <w:rsid w:val="007B3E3C"/>
    <w:rsid w:val="007E63E7"/>
    <w:rsid w:val="007F23D8"/>
    <w:rsid w:val="008739C5"/>
    <w:rsid w:val="00874A29"/>
    <w:rsid w:val="008B71F7"/>
    <w:rsid w:val="008C0929"/>
    <w:rsid w:val="009236BE"/>
    <w:rsid w:val="00932269"/>
    <w:rsid w:val="0098205E"/>
    <w:rsid w:val="0098697D"/>
    <w:rsid w:val="00A15888"/>
    <w:rsid w:val="00A30134"/>
    <w:rsid w:val="00A548D0"/>
    <w:rsid w:val="00C32366"/>
    <w:rsid w:val="00C401EE"/>
    <w:rsid w:val="00C42D7B"/>
    <w:rsid w:val="00C550D6"/>
    <w:rsid w:val="00CD0C4F"/>
    <w:rsid w:val="00CE1FB7"/>
    <w:rsid w:val="00D64C28"/>
    <w:rsid w:val="00D654DB"/>
    <w:rsid w:val="00DF62F0"/>
    <w:rsid w:val="00E40DD3"/>
    <w:rsid w:val="00E50D7A"/>
    <w:rsid w:val="00E87228"/>
    <w:rsid w:val="00EB61DF"/>
    <w:rsid w:val="00F35EFC"/>
    <w:rsid w:val="00F43F97"/>
    <w:rsid w:val="00F6131D"/>
    <w:rsid w:val="00F73B3D"/>
    <w:rsid w:val="00FA2E41"/>
    <w:rsid w:val="00FB218A"/>
    <w:rsid w:val="00FB4A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oNotEmbedSmartTags/>
  <w:decimalSymbol w:val=","/>
  <w:listSeparator w:val=";"/>
  <w14:docId w14:val="55A6FFE9"/>
  <w14:defaultImageDpi w14:val="330"/>
  <w15:chartTrackingRefBased/>
  <w15:docId w15:val="{9DF58913-016C-4F12-88FB-118CDEEA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Overskrift1">
    <w:name w:val="heading 1"/>
    <w:basedOn w:val="Normal"/>
    <w:next w:val="Normal"/>
    <w:qFormat/>
    <w:pPr>
      <w:keepNext/>
      <w:numPr>
        <w:numId w:val="1"/>
      </w:numPr>
      <w:outlineLvl w:val="0"/>
    </w:pPr>
  </w:style>
  <w:style w:type="paragraph" w:styleId="Overskrift2">
    <w:name w:val="heading 2"/>
    <w:basedOn w:val="Normal"/>
    <w:next w:val="Normal"/>
    <w:qFormat/>
    <w:pPr>
      <w:keepNext/>
      <w:numPr>
        <w:ilvl w:val="1"/>
        <w:numId w:val="1"/>
      </w:numPr>
      <w:outlineLvl w:val="1"/>
    </w:pPr>
    <w:rPr>
      <w:sz w:val="28"/>
    </w:rPr>
  </w:style>
  <w:style w:type="paragraph" w:styleId="Overskrift3">
    <w:name w:val="heading 3"/>
    <w:basedOn w:val="Normal"/>
    <w:next w:val="Normal"/>
    <w:qFormat/>
    <w:pPr>
      <w:keepNext/>
      <w:numPr>
        <w:ilvl w:val="2"/>
        <w:numId w:val="1"/>
      </w:numPr>
      <w:outlineLvl w:val="2"/>
    </w:pPr>
  </w:style>
  <w:style w:type="paragraph" w:styleId="Overskrift4">
    <w:name w:val="heading 4"/>
    <w:basedOn w:val="Normal"/>
    <w:next w:val="Normal"/>
    <w:qFormat/>
    <w:pPr>
      <w:keepNext/>
      <w:tabs>
        <w:tab w:val="left" w:pos="864"/>
      </w:tabs>
      <w:spacing w:before="240" w:after="60"/>
      <w:ind w:left="864" w:hanging="864"/>
      <w:outlineLvl w:val="3"/>
    </w:pPr>
  </w:style>
  <w:style w:type="paragraph" w:styleId="Overskrift5">
    <w:name w:val="heading 5"/>
    <w:basedOn w:val="Normal"/>
    <w:next w:val="Normal"/>
    <w:qFormat/>
    <w:pPr>
      <w:tabs>
        <w:tab w:val="left" w:pos="1008"/>
      </w:tabs>
      <w:spacing w:before="240" w:after="60"/>
      <w:ind w:left="1008" w:hanging="1008"/>
      <w:outlineLvl w:val="4"/>
    </w:pPr>
    <w:rPr>
      <w:sz w:val="22"/>
    </w:rPr>
  </w:style>
  <w:style w:type="paragraph" w:styleId="Overskrift6">
    <w:name w:val="heading 6"/>
    <w:basedOn w:val="Normal"/>
    <w:next w:val="Normal"/>
    <w:qFormat/>
    <w:pPr>
      <w:tabs>
        <w:tab w:val="left" w:pos="1152"/>
      </w:tabs>
      <w:spacing w:before="240" w:after="60"/>
      <w:ind w:left="1152" w:hanging="1152"/>
      <w:outlineLvl w:val="5"/>
    </w:pPr>
  </w:style>
  <w:style w:type="paragraph" w:styleId="Overskrift7">
    <w:name w:val="heading 7"/>
    <w:basedOn w:val="Normal"/>
    <w:next w:val="Normal"/>
    <w:qFormat/>
    <w:pPr>
      <w:tabs>
        <w:tab w:val="left" w:pos="1296"/>
      </w:tabs>
      <w:spacing w:before="240" w:after="60"/>
      <w:ind w:left="1296" w:hanging="1296"/>
      <w:outlineLvl w:val="6"/>
    </w:pPr>
  </w:style>
  <w:style w:type="paragraph" w:styleId="Overskrift8">
    <w:name w:val="heading 8"/>
    <w:basedOn w:val="Normal"/>
    <w:next w:val="Normal"/>
    <w:qFormat/>
    <w:pPr>
      <w:tabs>
        <w:tab w:val="left" w:pos="1440"/>
      </w:tabs>
      <w:spacing w:before="240" w:after="60"/>
      <w:ind w:left="1440" w:hanging="1440"/>
      <w:outlineLvl w:val="7"/>
    </w:pPr>
  </w:style>
  <w:style w:type="paragraph" w:styleId="Overskrift9">
    <w:name w:val="heading 9"/>
    <w:basedOn w:val="Normal"/>
    <w:next w:val="Normal"/>
    <w:qFormat/>
    <w:pPr>
      <w:tabs>
        <w:tab w:val="left" w:pos="1584"/>
      </w:tabs>
      <w:spacing w:before="240" w:after="60"/>
      <w:ind w:left="1584" w:hanging="1584"/>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Standardskriftforavsnitt1">
    <w:name w:val="Standardskrift for avsnitt1"/>
  </w:style>
  <w:style w:type="character" w:styleId="Sidetall">
    <w:name w:val="page number"/>
    <w:basedOn w:val="Standardskriftforavsnitt1"/>
  </w:style>
  <w:style w:type="paragraph" w:customStyle="1" w:styleId="Heading">
    <w:name w:val="Heading"/>
    <w:basedOn w:val="Normal"/>
    <w:next w:val="Brdtekst"/>
    <w:pPr>
      <w:keepNext/>
      <w:spacing w:before="240" w:after="120"/>
    </w:pPr>
  </w:style>
  <w:style w:type="paragraph" w:styleId="Brdtekst">
    <w:name w:val="Body Text"/>
    <w:basedOn w:val="Normal"/>
  </w:style>
  <w:style w:type="paragraph" w:styleId="Liste">
    <w:name w:val="List"/>
    <w:basedOn w:val="Brdtekst"/>
    <w:rPr>
      <w:rFonts w:cs="Lucida Sans"/>
    </w:rPr>
  </w:style>
  <w:style w:type="paragraph" w:customStyle="1" w:styleId="Caption1">
    <w:name w:val="Caption1"/>
    <w:basedOn w:val="Normal"/>
    <w:pPr>
      <w:suppressLineNumbers/>
      <w:spacing w:before="120" w:after="120"/>
    </w:pPr>
  </w:style>
  <w:style w:type="paragraph" w:customStyle="1" w:styleId="Index">
    <w:name w:val="Index"/>
    <w:basedOn w:val="Normal"/>
    <w:pPr>
      <w:suppressLineNumbers/>
    </w:pPr>
    <w:rPr>
      <w:rFonts w:cs="Lucida Sans"/>
    </w:rPr>
  </w:style>
  <w:style w:type="paragraph" w:styleId="INNH1">
    <w:name w:val="toc 1"/>
    <w:basedOn w:val="Normal"/>
    <w:next w:val="Normal"/>
  </w:style>
  <w:style w:type="paragraph" w:styleId="INNH2">
    <w:name w:val="toc 2"/>
    <w:basedOn w:val="Normal"/>
    <w:next w:val="Normal"/>
    <w:pPr>
      <w:ind w:left="200"/>
    </w:pPr>
  </w:style>
  <w:style w:type="paragraph" w:styleId="INNH3">
    <w:name w:val="toc 3"/>
    <w:basedOn w:val="Normal"/>
    <w:next w:val="Normal"/>
    <w:pPr>
      <w:ind w:left="400"/>
    </w:pPr>
  </w:style>
  <w:style w:type="paragraph" w:styleId="Topptekst">
    <w:name w:val="header"/>
    <w:basedOn w:val="Normal"/>
    <w:link w:val="TopptekstTegn"/>
    <w:pPr>
      <w:tabs>
        <w:tab w:val="center" w:pos="4536"/>
        <w:tab w:val="right" w:pos="9072"/>
      </w:tabs>
    </w:pPr>
  </w:style>
  <w:style w:type="paragraph" w:styleId="Bunntekst">
    <w:name w:val="footer"/>
    <w:basedOn w:val="Normal"/>
    <w:link w:val="BunntekstTegn"/>
    <w:pPr>
      <w:tabs>
        <w:tab w:val="center" w:pos="4536"/>
        <w:tab w:val="right" w:pos="9072"/>
      </w:tabs>
    </w:pPr>
  </w:style>
  <w:style w:type="paragraph" w:styleId="Bobletekst">
    <w:name w:val="Balloon Text"/>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ittel">
    <w:name w:val="Title"/>
    <w:basedOn w:val="Normal"/>
    <w:next w:val="Normal"/>
    <w:link w:val="TittelTegn"/>
    <w:uiPriority w:val="10"/>
    <w:qFormat/>
    <w:rsid w:val="00D64C28"/>
    <w:pPr>
      <w:pBdr>
        <w:bottom w:val="single" w:sz="4" w:space="1" w:color="auto"/>
      </w:pBdr>
      <w:suppressAutoHyphens w:val="0"/>
      <w:spacing w:after="200" w:line="276" w:lineRule="auto"/>
    </w:pPr>
    <w:rPr>
      <w:rFonts w:ascii="Calibri" w:eastAsia="Calibri" w:hAnsi="Calibri"/>
      <w:noProof/>
      <w:sz w:val="36"/>
      <w:szCs w:val="36"/>
      <w:lang w:val="en-CA" w:eastAsia="en-US"/>
    </w:rPr>
  </w:style>
  <w:style w:type="character" w:customStyle="1" w:styleId="TittelTegn">
    <w:name w:val="Tittel Tegn"/>
    <w:link w:val="Tittel"/>
    <w:uiPriority w:val="10"/>
    <w:rsid w:val="00D64C28"/>
    <w:rPr>
      <w:rFonts w:ascii="Calibri" w:eastAsia="Calibri" w:hAnsi="Calibri"/>
      <w:noProof/>
      <w:sz w:val="36"/>
      <w:szCs w:val="36"/>
      <w:lang w:val="en-CA" w:eastAsia="en-US"/>
    </w:rPr>
  </w:style>
  <w:style w:type="character" w:customStyle="1" w:styleId="TopptekstTegn">
    <w:name w:val="Topptekst Tegn"/>
    <w:link w:val="Topptekst"/>
    <w:rsid w:val="00C42D7B"/>
    <w:rPr>
      <w:lang w:val="en-US"/>
    </w:rPr>
  </w:style>
  <w:style w:type="table" w:styleId="Tabellrutenett">
    <w:name w:val="Table Grid"/>
    <w:basedOn w:val="Vanligtabell"/>
    <w:uiPriority w:val="59"/>
    <w:rsid w:val="00873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nntekstTegn">
    <w:name w:val="Bunntekst Tegn"/>
    <w:link w:val="Bunntekst"/>
    <w:rsid w:val="008739C5"/>
  </w:style>
  <w:style w:type="paragraph" w:styleId="NormalWeb">
    <w:name w:val="Normal (Web)"/>
    <w:basedOn w:val="Normal"/>
    <w:uiPriority w:val="99"/>
    <w:semiHidden/>
    <w:unhideWhenUsed/>
    <w:rsid w:val="00676404"/>
    <w:pPr>
      <w:suppressAutoHyphens w:val="0"/>
      <w:spacing w:before="100" w:beforeAutospacing="1" w:after="100" w:afterAutospacing="1"/>
    </w:pPr>
    <w:rPr>
      <w:sz w:val="24"/>
      <w:szCs w:val="24"/>
    </w:rPr>
  </w:style>
  <w:style w:type="character" w:styleId="Hyperkobling">
    <w:name w:val="Hyperlink"/>
    <w:basedOn w:val="Standardskriftforavsnitt"/>
    <w:uiPriority w:val="99"/>
    <w:unhideWhenUsed/>
    <w:rsid w:val="00F6131D"/>
    <w:rPr>
      <w:color w:val="0563C1" w:themeColor="hyperlink"/>
      <w:u w:val="single"/>
    </w:rPr>
  </w:style>
  <w:style w:type="character" w:styleId="Ulstomtale">
    <w:name w:val="Unresolved Mention"/>
    <w:basedOn w:val="Standardskriftforavsnitt"/>
    <w:uiPriority w:val="99"/>
    <w:semiHidden/>
    <w:unhideWhenUsed/>
    <w:rsid w:val="00F61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87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arsling@inkafisk.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1435</Words>
  <Characters>7609</Characters>
  <Application>Microsoft Office Word</Application>
  <DocSecurity>0</DocSecurity>
  <Lines>63</Lines>
  <Paragraphs>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Hensikt:</vt:lpstr>
      <vt:lpstr>Hensikt:</vt:lpstr>
    </vt:vector>
  </TitlesOfParts>
  <Company>INKA AS</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Hensikt:</dc:title>
  <dc:subject/>
  <dc:creator>Ellisiv Birkeli Austevoll</dc:creator>
  <cp:keywords/>
  <cp:lastModifiedBy>Linda Austevoll</cp:lastModifiedBy>
  <cp:revision>19</cp:revision>
  <cp:lastPrinted>2012-11-26T07:28:00Z</cp:lastPrinted>
  <dcterms:created xsi:type="dcterms:W3CDTF">2017-05-23T11:23:00Z</dcterms:created>
  <dcterms:modified xsi:type="dcterms:W3CDTF">2024-07-19T11:18:00Z</dcterms:modified>
</cp:coreProperties>
</file>